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Аллергология и иммунология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Аллергология и иммунология | Записей: 1 | Кейс: 1 | Вопросов: 12</w:t>
      </w:r>
    </w:p>
    <w:p>
      <w:r>
        <w:br w:type="page"/>
      </w:r>
    </w:p>
    <w:p>
      <w:pPr>
        <w:pStyle w:val="Heading1"/>
      </w:pPr>
      <w:r>
        <w:t>Аллергология и иммунология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Аллергология и иммунология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девочки 7 лет обратилась к врачу – аллергологу-иммунологу.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Заложенность и отделяемое из носа в течение года.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С 6 лет беспокоит заложенность и отделяемое из носа</w:t>
      </w:r>
    </w:p>
    <w:p>
      <w:pPr>
        <w:spacing w:after="58"/>
      </w:pPr>
      <w:r>
        <w:rPr>
          <w:b w:val="0"/>
          <w:i w:val="0"/>
        </w:rPr>
        <w:t>* Проводилось лечение деконгестантами, мукотитиками – без эффекта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Ребенок от 2 беременности, 2 физиологических родов в срок</w:t>
      </w:r>
    </w:p>
    <w:p>
      <w:pPr>
        <w:spacing w:after="58"/>
      </w:pPr>
      <w:r>
        <w:rPr>
          <w:b w:val="0"/>
          <w:i w:val="0"/>
        </w:rPr>
        <w:t>* Профилактические прививки проведены по возрасту</w:t>
      </w:r>
    </w:p>
    <w:p>
      <w:pPr>
        <w:spacing w:after="58"/>
      </w:pPr>
      <w:r>
        <w:rPr>
          <w:b w:val="0"/>
          <w:i w:val="0"/>
        </w:rPr>
        <w:t>* Наследственный анамнез – не отягощен</w:t>
      </w:r>
    </w:p>
    <w:p>
      <w:pPr>
        <w:spacing w:after="58"/>
      </w:pPr>
      <w:r>
        <w:rPr>
          <w:b w:val="0"/>
          <w:i w:val="0"/>
        </w:rPr>
        <w:t>* Дома живет попугай, имеется ковер в гостиной</w:t>
      </w:r>
    </w:p>
    <w:p>
      <w:pPr>
        <w:spacing w:after="58"/>
      </w:pPr>
      <w:r>
        <w:rPr>
          <w:b w:val="0"/>
          <w:i w:val="0"/>
        </w:rPr>
        <w:t>* В раннем возрасте беспокоили эпизоды высыпаний на коже, купировались самостоятельно к 1,5 годам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Общее состояние удовлетворительное. Температура тела 36,4 С. Активность и аппетит сохранены</w:t>
      </w:r>
    </w:p>
    <w:p>
      <w:pPr>
        <w:spacing w:after="58"/>
      </w:pPr>
      <w:r>
        <w:rPr>
          <w:b w:val="0"/>
          <w:i w:val="0"/>
        </w:rPr>
        <w:t>* Кожные покровы умеренно сухие, чистые от сыпи</w:t>
      </w:r>
    </w:p>
    <w:p>
      <w:pPr>
        <w:spacing w:after="58"/>
      </w:pPr>
      <w:r>
        <w:rPr>
          <w:b w:val="0"/>
          <w:i w:val="0"/>
        </w:rPr>
        <w:t>* При проведении риноскопии: слизистая оболочка носовых ходов бледная, цианотично-серая, выраженно отечная</w:t>
      </w:r>
    </w:p>
    <w:p>
      <w:pPr>
        <w:spacing w:after="58"/>
      </w:pPr>
      <w:r>
        <w:rPr>
          <w:b w:val="0"/>
          <w:i w:val="0"/>
        </w:rPr>
        <w:t>* Зев розовый, миндалины чистые</w:t>
      </w:r>
    </w:p>
    <w:p>
      <w:pPr>
        <w:spacing w:after="58"/>
      </w:pPr>
      <w:r>
        <w:rPr>
          <w:b w:val="0"/>
          <w:i w:val="0"/>
        </w:rPr>
        <w:t>* При аускультации легких – дыхание пуэрильное, равномерно проводится во все отделы, хрипы не выслушиваются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Значимым для постановки диагноза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определение уровня специфических антител класса IgG 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определение уровня специфических антител класса IgE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концентрации общего IgE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уровня эозинофилов в сыворотке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уровня специфических антител класса IgE</w:t>
      </w:r>
    </w:p>
    <w:p>
      <w:pPr>
        <w:ind w:left="504"/>
      </w:pPr>
      <w:r>
        <w:rPr>
          <w:b w:val="0"/>
          <w:i/>
        </w:rPr>
        <w:t>Рекомендовано выявление сенсибилизирующих аллергенов:</w:t>
        <w:br/>
        <w:br/>
        <w:t>- кожное тестирование позволяет выявить причинно-значимые аллергены и определение специфических антител класса IgE (sIgE).</w:t>
        <w:br/>
        <w:br/>
        <w:t>Аллергическая сенсибилизация диагностируется при положительном результате кожного тестирования или выявлении специфичных к определенному аллергену антител класса IgE, при этом крайне важна количественная характеристика исследуемого параметра (размер папулы, концентрация sIgE в сыворотке крови).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12, раздел 2.3. Лабораторная диагностика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Результаты обследования</w:t>
      </w:r>
    </w:p>
    <w:p>
      <w:pPr>
        <w:pStyle w:val="Heading3"/>
      </w:pPr>
      <w:r>
        <w:t>3.1. Определение уровня специфических антител класса IgE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556"/>
        <w:gridCol w:w="2556"/>
        <w:gridCol w:w="2556"/>
        <w:gridCol w:w="2556"/>
      </w:tblGrid>
      <w:tr>
        <w:tc>
          <w:tcPr>
            <w:tcW w:type="dxa" w:w="2556"/>
          </w:tcPr>
          <w:p>
            <w:r>
              <w:rPr>
                <w:b/>
                <w:i w:val="0"/>
              </w:rPr>
              <w:t>Тест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Результат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Ед. измерения</w:t>
            </w:r>
          </w:p>
        </w:tc>
        <w:tc>
          <w:tcPr>
            <w:tcW w:type="dxa" w:w="2556"/>
          </w:tcPr>
          <w:p>
            <w:r>
              <w:rPr>
                <w:b/>
                <w:i w:val="0"/>
              </w:rPr>
              <w:t>Должные значения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Смесь клещей домашней пыли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8,76 Умеренно высокий (lll)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Смесь грибковых аллергенов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2,47 Средний (II)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Cмесь перьев птиц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2,03 Средний (II)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Смесь эпидермальных аллергенов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Белок коровьего молока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Яичный белок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  <w:tr>
        <w:tc>
          <w:tcPr>
            <w:tcW w:type="dxa" w:w="2556"/>
          </w:tcPr>
          <w:p>
            <w:r>
              <w:rPr>
                <w:b w:val="0"/>
                <w:i w:val="0"/>
              </w:rPr>
              <w:t>Пшеница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0,00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kUA/l</w:t>
            </w:r>
          </w:p>
        </w:tc>
        <w:tc>
          <w:tcPr>
            <w:tcW w:type="dxa" w:w="2556"/>
          </w:tcPr>
          <w:p>
            <w:r>
              <w:rPr>
                <w:b w:val="0"/>
                <w:i w:val="0"/>
              </w:rPr>
              <w:t>0 - 0,34</w:t>
            </w:r>
          </w:p>
        </w:tc>
      </w:tr>
    </w:tbl>
    <w:p/>
    <w:p>
      <w:pPr>
        <w:pStyle w:val="Heading3"/>
      </w:pPr>
      <w:r>
        <w:t>3.4. определение уровня эозинофилов в сыворотке крови</w:t>
      </w:r>
    </w:p>
    <w:p>
      <w:pPr>
        <w:spacing w:after="58"/>
      </w:pPr>
      <w:r>
        <w:rPr>
          <w:b w:val="0"/>
          <w:i w:val="0"/>
        </w:rPr>
        <w:t>По данным клинического анализа крови выявлен умеренная эозинофилия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 целью дифференциально-диагностического поиска необходимыми методами обследования данной пациентки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провокационная проба с аллергеном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эндоскопия носоглотки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цитологическое исследование мазков из полости носа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КТ придаточных пазух носа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эндоскопия носоглотки</w:t>
      </w:r>
    </w:p>
    <w:p>
      <w:pPr>
        <w:ind w:left="504"/>
      </w:pPr>
      <w:r>
        <w:rPr>
          <w:b w:val="0"/>
          <w:i/>
        </w:rPr>
        <w:t>Для визуализации полипов и исключения других причин затруднения носового дыхания (наличие инородного тела, искривление носовой перегородки и др.) рекомендовано проведение эндоскопии носоглотки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14, раздел 2.5. Дифференциальная диагностика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Эндоскопия носоглотки</w:t>
      </w:r>
    </w:p>
    <w:p>
      <w:pPr>
        <w:spacing w:after="58"/>
      </w:pPr>
      <w:r>
        <w:rPr>
          <w:b w:val="0"/>
          <w:i w:val="0"/>
        </w:rPr>
        <w:t>При проведении эндоскопии носоглотки патологических изменений не выявлено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Учитывая данные анамнеза, физикального осмотра и результатов исследований, больному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Вазомоторный ринит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Лекарственно-индуцированный ринит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Искривление носовой перегородки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Аллергический ринит, персистирующий, среднетяжелое течение, обострение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Аллергический ринит, персистирующий, среднетяжелое течение, обострение</w:t>
      </w:r>
    </w:p>
    <w:p>
      <w:pPr>
        <w:ind w:left="504"/>
      </w:pPr>
      <w:r>
        <w:rPr>
          <w:b w:val="0"/>
          <w:i/>
        </w:rPr>
        <w:t>На основании данных анамнеза и физикального осмотра (в течение года беспокоит заложенность и отделяемое из носа (без повышения температуры тела); цианотично-серый цвет и выраженная отечность слизистой оболочки носовых ходов по данным риноскопии; данных лабораторно-диагностических исследований (III класс сенсибилизации к аллергенам клещей домашней пыли, II класс сенсибилизации к грибковым аллергенам, II класс сенсибилизации к смеси перьев птиц) отсутствие патологических изменений по данным эндоскопии носоглотки, можно поставить диагноз: Аллергический ринит, персистирующий, среднетяжелое течение, обострение.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8, раздел 1.5. Примеры диагнозов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Диагноз</w:t>
      </w:r>
    </w:p>
    <w:p>
      <w:pPr>
        <w:pStyle w:val="Heading3"/>
      </w:pPr>
      <w:r>
        <w:t>7.1. Аллергический ринит, персистирующий, среднетяжелое течение, обострение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Консервативное лечение данного пациента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длительное пребывание на свежем воздухе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ограничение контакта с аллергенами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ношение защитной лицевой маски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проведение физиотерапевтических процедур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ограничение контакта с аллергенами</w:t>
      </w:r>
    </w:p>
    <w:p>
      <w:pPr>
        <w:ind w:left="504"/>
      </w:pPr>
      <w:r>
        <w:rPr>
          <w:b w:val="0"/>
          <w:i/>
        </w:rPr>
        <w:t>В качестве консервативного лечения при аллергическом рините рекомендуется ограничение контакта с аллергенами (элиминационный режим).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17, раздел 3.1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Для базовой терапии аллергического ринита девочке необходимо назначить антигистаминный препарат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левоцетиризин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фексофенадин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диметинден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рупатадина фумарат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левоцетиризин</w:t>
      </w:r>
    </w:p>
    <w:p>
      <w:pPr>
        <w:ind w:left="504"/>
      </w:pPr>
      <w:r>
        <w:rPr>
          <w:b w:val="0"/>
          <w:i/>
        </w:rPr>
        <w:t>Антигистаминные препараты 2-го поколения рекомендуются как базовая терапия аллергического ринита вне зависимости от степени тяжести (как регулярным курсом, так и по потребности). +</w:t>
        <w:br/>
        <w:t>(А – высокая степень убедительности; высший уровень достоверности) +</w:t>
        <w:br/>
        <w:t>Левоцетиризин (код ATX: R06AE09) детям в возрасте от 2 до 6 лет — 2,5 мг/сут в форме капель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19, раздел 3.1.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В качестве терапии первого выбора при умеренно тяжелом или тяжелом аллергическом рините рекомендованы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антагонисты лейкотриеновых рецепторов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препараты кромоглициевой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назальные холинолитики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назальные кортикостероиды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назальные кортикостероиды</w:t>
      </w:r>
    </w:p>
    <w:p>
      <w:pPr>
        <w:ind w:left="504"/>
      </w:pPr>
      <w:r>
        <w:rPr>
          <w:b w:val="0"/>
          <w:i/>
        </w:rPr>
        <w:t>Назальные кортикостероиды рекомендуют для использования в качестве терапии первого выбора при умеренно тяжелом или тяжелом аллергическом рините, особенно если основные жалобы</w:t>
        <w:br/>
        <w:t>вызывает заложенность носа, в то время как антигистаминным препаратам второго поколения / монтелукасту может отдаваться предпочтение при АР легкого течения.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21, раздел 3.1.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индукции клинической и иммунологической толерантности девочке показано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проведение аллерген-специфической иммунотерапии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анти-IgE терапии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применение системных кортикостероидов коротким курсом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применение местных деконгестантов коротким курсом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проведение аллерген-специфической иммунотерапии</w:t>
      </w:r>
    </w:p>
    <w:p>
      <w:pPr>
        <w:ind w:left="504"/>
      </w:pPr>
      <w:r>
        <w:rPr>
          <w:b w:val="0"/>
          <w:i/>
        </w:rPr>
        <w:t>Аллерген-специфическая иммунотерапия рекомендуется детям с аллергическим ринитом при наличии четких доказательств связи между экспозицией аллергена, симптомами болезни и IgE-зависимым механизмом. +</w:t>
        <w:br/>
        <w:t>Комментарии: Аллерген-специфическая иммунотерапия индуцирует клиническую и иммунологическую толерантность, имеет продолжительную эффективность и может предотвращать прогрессирование аллергических болезней: уменьшает</w:t>
        <w:br/>
        <w:t>вероятность формирования бронхиальной астмы у больных аллергическим ринитом и конъюнктивитом и расширения спектра сенсибилизации.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24, раздел 3.1.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Длительность аллерген-специфической иммунотерапии как правило составляет +_____+ года/лет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4-6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6-8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3-5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1-3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3-5</w:t>
      </w:r>
    </w:p>
    <w:p>
      <w:pPr>
        <w:ind w:left="504"/>
      </w:pPr>
      <w:r>
        <w:rPr>
          <w:b w:val="0"/>
          <w:i/>
        </w:rPr>
        <w:t>Длительность аллерген-специфической терапии, как правило, 3–5</w:t>
        <w:br/>
        <w:t>лет.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24, раздел 3.1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Наиболее предпочтительным путем введения аллерген-специфической терапии у детей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сублингвальный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накожный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интраназальный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парентеральный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сублингвальный</w:t>
      </w:r>
    </w:p>
    <w:p>
      <w:pPr>
        <w:ind w:left="504"/>
      </w:pPr>
      <w:r>
        <w:rPr>
          <w:b w:val="0"/>
          <w:i/>
        </w:rPr>
        <w:t>Сублингвальная аллерген-специфическая иммунотерапия более предпочтительна для детей, безболезненна, удобна с позиции пути введения и имеет более благоприятный профиль безопасности по сравнению с подкожным методом.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24, раздел 3.1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Аллерген-специфическую иммунотерапию нельзя рекомендовать при наличии у пациента противопоказаний к назначению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гидроксизина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адреналина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толперизона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ибупрофена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адреналина</w:t>
      </w:r>
    </w:p>
    <w:p>
      <w:pPr>
        <w:ind w:left="504"/>
      </w:pPr>
      <w:r>
        <w:rPr>
          <w:b w:val="0"/>
          <w:i/>
        </w:rPr>
        <w:t>Противопоказаниями к проведению аллерген-специфической иммунотерапии являются тяжелые сопутствующие состояния: иммунопатологические процессы и иммунодефициты, острые и хронические рецидивирующие заболевания внутренних органов, тяжелая персистирующая бронхиальная астма, плохо контролируемая фармакологическими препаратами, противопоказания к назначению адреналина и его аналогов, плохая переносимость метода.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24, раздел 3.1 Консервативное лечение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Молекулярная масса аллергена составляет около +__+ kD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20000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</w:t>
      </w:r>
    </w:p>
    <w:p>
      <w:pPr>
        <w:ind w:left="504"/>
      </w:pPr>
      <w:r>
        <w:rPr>
          <w:b w:val="0"/>
          <w:i/>
        </w:rPr>
        <w:t>Аллергены — это вещества, преимущественно белковой природы, с молекулярной массой около 20 kD (от 5 до 100 kD).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5, Термины и определения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Ранняя фаза аллергической реакции развивается в течение +__________________+ после воздействия аллергена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первой недели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нескольких часов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первых минут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нескольких дней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первых минут</w:t>
      </w:r>
    </w:p>
    <w:p>
      <w:pPr>
        <w:ind w:left="504"/>
      </w:pPr>
      <w:r>
        <w:rPr>
          <w:b w:val="0"/>
          <w:i/>
        </w:rPr>
        <w:t>Ранняя фаза аллергической реакции развивается в течение первых минут после воздействия аллергена</w:t>
        <w:br/>
        <w:br/>
        <w:t>Клинические рекомендации Союза педиатров России</w:t>
        <w:br/>
        <w:t>Аллергический ринит у детей</w:t>
        <w:br/>
        <w:t>МКБ 10: J30.1/ J30.2/ J30.3/ J30.4</w:t>
        <w:br/>
        <w:t>Год утверждения (частота пересмотра): 2016 (пересмотр каждые 3 года)</w:t>
        <w:br/>
        <w:br/>
        <w:t>стр. 7, раздел 1.2 Этиология и патогенез</w:t>
        <w:br/>
        <w:br/>
      </w:r>
      <w:hyperlink r:id="rId9">
        <w:r>
          <w:rPr>
            <w:color w:val="0F766E"/>
            <w:u w:val="single"/>
          </w:rPr>
          <w:t>Клинические рекомендации Минздрава РФ. Аллергический ринит у детей, 2016г.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kr_ar/" TargetMode="External"/><Relationship Id="rId10" Type="http://schemas.openxmlformats.org/officeDocument/2006/relationships/hyperlink" Target="https://library.mededtech.ru/rest/documents/kr_ar/#paragraph_j4mkt" TargetMode="External"/><Relationship Id="rId11" Type="http://schemas.openxmlformats.org/officeDocument/2006/relationships/hyperlink" Target="https://library.mededtech.ru/rest/documents/kr_ar/#list_item_43tbc" TargetMode="External"/><Relationship Id="rId12" Type="http://schemas.openxmlformats.org/officeDocument/2006/relationships/hyperlink" Target="https://library.mededtech.ru/rest/documents/kr_ar/#paragraph_df2rk" TargetMode="External"/><Relationship Id="rId13" Type="http://schemas.openxmlformats.org/officeDocument/2006/relationships/hyperlink" Target="https://library.mededtech.ru/rest/documents/kr_ar/#list_item_u6d42" TargetMode="External"/><Relationship Id="rId14" Type="http://schemas.openxmlformats.org/officeDocument/2006/relationships/hyperlink" Target="https://library.mededtech.ru/rest/documents/kr_ar/#list_item_utfnr" TargetMode="External"/><Relationship Id="rId15" Type="http://schemas.openxmlformats.org/officeDocument/2006/relationships/hyperlink" Target="https://library.mededtech.ru/rest/documents/kr_ar/#list_item_rcm0t" TargetMode="External"/><Relationship Id="rId16" Type="http://schemas.openxmlformats.org/officeDocument/2006/relationships/hyperlink" Target="https://library.mededtech.ru/rest/documents/kr_ar/#list_item_h623i" TargetMode="External"/><Relationship Id="rId17" Type="http://schemas.openxmlformats.org/officeDocument/2006/relationships/hyperlink" Target="https://library.mededtech.ru/rest/documents/kr_ar/#paragraph_1nob4" TargetMode="External"/><Relationship Id="rId18" Type="http://schemas.openxmlformats.org/officeDocument/2006/relationships/hyperlink" Target="https://library.mededtech.ru/rest/documents/kr_ar/#paragraph_u8kro" TargetMode="External"/><Relationship Id="rId19" Type="http://schemas.openxmlformats.org/officeDocument/2006/relationships/hyperlink" Target="https://library.mededtech.ru/rest/documents/kr_ar/#paragraph_d1j60" TargetMode="External"/><Relationship Id="rId20" Type="http://schemas.openxmlformats.org/officeDocument/2006/relationships/hyperlink" Target="https://library.mededtech.ru/rest/documents/kr_ar/#paragraph_4p9e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